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629ECD7D" w:rsidR="00DD5E2E" w:rsidRDefault="0083179D">
      <w:pPr>
        <w:widowControl w:val="0"/>
        <w:jc w:val="center"/>
      </w:pPr>
      <w:r>
        <w:rPr>
          <w:rFonts w:ascii="@PMingLiU" w:hAnsi="@PMingLiU"/>
          <w:b/>
          <w:sz w:val="72"/>
        </w:rPr>
        <w:t>April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5B1854">
        <w:rPr>
          <w:rFonts w:ascii="@PMingLiU" w:hAnsi="@PMingLiU"/>
          <w:b/>
          <w:sz w:val="72"/>
        </w:rPr>
        <w:t>5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192EB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EF2FA65" w14:textId="239374A4" w:rsidR="00A8390A" w:rsidRDefault="00DD5E2E" w:rsidP="00340560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3C90A95A" w14:textId="01C9D10D" w:rsidR="009A0781" w:rsidRDefault="009A0781" w:rsidP="00340560">
      <w:pPr>
        <w:widowControl w:val="0"/>
        <w:jc w:val="center"/>
        <w:rPr>
          <w:rFonts w:ascii="@PMingLiU" w:hAnsi="@PMingLiU"/>
          <w:sz w:val="26"/>
        </w:rPr>
      </w:pPr>
    </w:p>
    <w:p w14:paraId="3665899C" w14:textId="77777777" w:rsidR="009A0781" w:rsidRDefault="009A0781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9A0781" w:rsidRPr="006177BD" w14:paraId="6351E91D" w14:textId="77777777" w:rsidTr="006B1DFE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55B2A82D" w14:textId="77777777" w:rsidR="009A0781" w:rsidRPr="006177BD" w:rsidRDefault="009A0781" w:rsidP="006B1DFE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41EAAF3F" w14:textId="77777777" w:rsidR="009A0781" w:rsidRPr="006177BD" w:rsidRDefault="009A0781" w:rsidP="006B1DFE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April 2025</w:t>
            </w:r>
          </w:p>
        </w:tc>
      </w:tr>
    </w:tbl>
    <w:p w14:paraId="5868E695" w14:textId="77777777" w:rsidR="009A0781" w:rsidRDefault="009A0781" w:rsidP="009A0781">
      <w:pPr>
        <w:widowControl w:val="0"/>
      </w:pPr>
    </w:p>
    <w:p w14:paraId="4B62D54B" w14:textId="77777777" w:rsidR="009A0781" w:rsidRPr="008C09BC" w:rsidRDefault="009A0781" w:rsidP="009A0781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A0781" w14:paraId="60ECE6E3" w14:textId="77777777" w:rsidTr="006B1DFE">
        <w:trPr>
          <w:trHeight w:val="485"/>
        </w:trPr>
        <w:tc>
          <w:tcPr>
            <w:tcW w:w="3672" w:type="dxa"/>
            <w:shd w:val="clear" w:color="auto" w:fill="auto"/>
          </w:tcPr>
          <w:p w14:paraId="299D7F0E" w14:textId="77777777" w:rsidR="009A0781" w:rsidRPr="00CC7B5E" w:rsidRDefault="009A0781" w:rsidP="006B1DFE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1A2009A4" w14:textId="77777777" w:rsidR="009A0781" w:rsidRPr="00CC7B5E" w:rsidRDefault="009A0781" w:rsidP="006B1DFE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5A1E8BFA" w14:textId="77777777" w:rsidR="009A0781" w:rsidRPr="00CC7B5E" w:rsidRDefault="009A0781" w:rsidP="006B1DFE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9A0781" w14:paraId="319E82EE" w14:textId="77777777" w:rsidTr="006B1DFE">
        <w:trPr>
          <w:trHeight w:val="1160"/>
        </w:trPr>
        <w:tc>
          <w:tcPr>
            <w:tcW w:w="3672" w:type="dxa"/>
            <w:shd w:val="clear" w:color="auto" w:fill="auto"/>
          </w:tcPr>
          <w:p w14:paraId="7B626FF9" w14:textId="77777777" w:rsidR="009A0781" w:rsidRDefault="009A0781" w:rsidP="006B1DFE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0A6E97AD" w14:textId="77777777" w:rsidR="009A0781" w:rsidRDefault="009A0781" w:rsidP="006B1DFE">
            <w:pPr>
              <w:widowControl w:val="0"/>
              <w:jc w:val="center"/>
            </w:pPr>
            <w:r>
              <w:t>337</w:t>
            </w:r>
          </w:p>
        </w:tc>
        <w:tc>
          <w:tcPr>
            <w:tcW w:w="3672" w:type="dxa"/>
            <w:shd w:val="clear" w:color="auto" w:fill="auto"/>
          </w:tcPr>
          <w:p w14:paraId="4FBD70D5" w14:textId="77777777" w:rsidR="009A0781" w:rsidRDefault="009A0781" w:rsidP="006B1DFE">
            <w:pPr>
              <w:widowControl w:val="0"/>
              <w:jc w:val="center"/>
            </w:pPr>
            <w:r>
              <w:t>$31,878,224</w:t>
            </w:r>
          </w:p>
        </w:tc>
      </w:tr>
    </w:tbl>
    <w:p w14:paraId="2911BF5A" w14:textId="77777777" w:rsidR="009A0781" w:rsidRDefault="009A0781" w:rsidP="009A0781">
      <w:pPr>
        <w:widowControl w:val="0"/>
        <w:rPr>
          <w:b/>
        </w:rPr>
      </w:pPr>
    </w:p>
    <w:p w14:paraId="28E69FD6" w14:textId="77777777" w:rsidR="009A0781" w:rsidRPr="008C09BC" w:rsidRDefault="009A0781" w:rsidP="009A0781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9A0781" w14:paraId="0E50AFEE" w14:textId="77777777" w:rsidTr="006B1DFE">
        <w:trPr>
          <w:trHeight w:val="422"/>
        </w:trPr>
        <w:tc>
          <w:tcPr>
            <w:tcW w:w="3078" w:type="dxa"/>
            <w:shd w:val="clear" w:color="auto" w:fill="auto"/>
          </w:tcPr>
          <w:p w14:paraId="328E9ACD" w14:textId="77777777" w:rsidR="009A0781" w:rsidRPr="00CC7B5E" w:rsidRDefault="009A0781" w:rsidP="006B1DFE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23D57DF2" w14:textId="77777777" w:rsidR="009A0781" w:rsidRDefault="009A0781" w:rsidP="006B1DFE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504D6DBA" w14:textId="77777777" w:rsidR="009A0781" w:rsidRDefault="009A0781" w:rsidP="006B1DFE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457756FB" w14:textId="77777777" w:rsidR="009A0781" w:rsidRDefault="009A0781" w:rsidP="006B1DFE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9A0781" w14:paraId="37EE2DEC" w14:textId="77777777" w:rsidTr="006B1DFE">
        <w:trPr>
          <w:trHeight w:val="521"/>
        </w:trPr>
        <w:tc>
          <w:tcPr>
            <w:tcW w:w="3078" w:type="dxa"/>
            <w:shd w:val="clear" w:color="auto" w:fill="auto"/>
          </w:tcPr>
          <w:p w14:paraId="487A01A5" w14:textId="77777777" w:rsidR="009A0781" w:rsidRDefault="009A0781" w:rsidP="006B1DFE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0B9DFC06" w14:textId="77777777" w:rsidR="009A0781" w:rsidRPr="00A024C6" w:rsidRDefault="009A0781" w:rsidP="006B1DFE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430" w:type="dxa"/>
            <w:shd w:val="clear" w:color="auto" w:fill="auto"/>
          </w:tcPr>
          <w:p w14:paraId="46DA26EE" w14:textId="77777777" w:rsidR="009A0781" w:rsidRPr="00CC7B5E" w:rsidRDefault="009A0781" w:rsidP="006B1DFE">
            <w:pPr>
              <w:widowControl w:val="0"/>
              <w:jc w:val="center"/>
              <w:rPr>
                <w:b/>
                <w:bCs/>
              </w:rPr>
            </w:pPr>
            <w:r>
              <w:t>21</w:t>
            </w:r>
          </w:p>
        </w:tc>
        <w:tc>
          <w:tcPr>
            <w:tcW w:w="2358" w:type="dxa"/>
            <w:shd w:val="clear" w:color="auto" w:fill="auto"/>
          </w:tcPr>
          <w:p w14:paraId="3A144D81" w14:textId="77777777" w:rsidR="009A0781" w:rsidRPr="00CC7B5E" w:rsidRDefault="009A0781" w:rsidP="006B1DFE">
            <w:pPr>
              <w:widowControl w:val="0"/>
              <w:jc w:val="center"/>
              <w:rPr>
                <w:b/>
                <w:bCs/>
              </w:rPr>
            </w:pPr>
            <w:r>
              <w:t>$7,972,240</w:t>
            </w:r>
          </w:p>
        </w:tc>
      </w:tr>
      <w:tr w:rsidR="009A0781" w14:paraId="338177C0" w14:textId="77777777" w:rsidTr="006B1DFE">
        <w:trPr>
          <w:trHeight w:val="449"/>
        </w:trPr>
        <w:tc>
          <w:tcPr>
            <w:tcW w:w="3078" w:type="dxa"/>
            <w:shd w:val="clear" w:color="auto" w:fill="auto"/>
          </w:tcPr>
          <w:p w14:paraId="47648B54" w14:textId="77777777" w:rsidR="009A0781" w:rsidRDefault="009A0781" w:rsidP="006B1DFE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7741F220" w14:textId="77777777" w:rsidR="009A0781" w:rsidRDefault="009A0781" w:rsidP="006B1DF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430" w:type="dxa"/>
            <w:shd w:val="clear" w:color="auto" w:fill="auto"/>
          </w:tcPr>
          <w:p w14:paraId="37F2A2F2" w14:textId="77777777" w:rsidR="009A0781" w:rsidRDefault="009A0781" w:rsidP="006B1DFE">
            <w:pPr>
              <w:widowControl w:val="0"/>
              <w:jc w:val="center"/>
            </w:pPr>
            <w:r>
              <w:t>0</w:t>
            </w:r>
          </w:p>
        </w:tc>
        <w:tc>
          <w:tcPr>
            <w:tcW w:w="2358" w:type="dxa"/>
            <w:shd w:val="clear" w:color="auto" w:fill="auto"/>
          </w:tcPr>
          <w:p w14:paraId="7261F85A" w14:textId="77777777" w:rsidR="009A0781" w:rsidRDefault="009A0781" w:rsidP="006B1DFE">
            <w:pPr>
              <w:widowControl w:val="0"/>
              <w:jc w:val="center"/>
            </w:pPr>
            <w:r>
              <w:t>$0</w:t>
            </w:r>
          </w:p>
        </w:tc>
      </w:tr>
      <w:tr w:rsidR="009A0781" w14:paraId="59E09A03" w14:textId="77777777" w:rsidTr="006B1DFE">
        <w:trPr>
          <w:trHeight w:val="440"/>
        </w:trPr>
        <w:tc>
          <w:tcPr>
            <w:tcW w:w="3078" w:type="dxa"/>
            <w:shd w:val="clear" w:color="auto" w:fill="auto"/>
          </w:tcPr>
          <w:p w14:paraId="08DBDFB0" w14:textId="77777777" w:rsidR="009A0781" w:rsidRDefault="009A0781" w:rsidP="006B1DFE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76211BBB" w14:textId="77777777" w:rsidR="009A0781" w:rsidRDefault="009A0781" w:rsidP="006B1DFE">
            <w:pPr>
              <w:widowControl w:val="0"/>
              <w:jc w:val="center"/>
            </w:pPr>
            <w:r>
              <w:t>41</w:t>
            </w:r>
          </w:p>
        </w:tc>
        <w:tc>
          <w:tcPr>
            <w:tcW w:w="2430" w:type="dxa"/>
            <w:shd w:val="clear" w:color="auto" w:fill="auto"/>
          </w:tcPr>
          <w:p w14:paraId="6F31C8FF" w14:textId="77777777" w:rsidR="009A0781" w:rsidRDefault="009A0781" w:rsidP="006B1DFE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63F8C669" w14:textId="77777777" w:rsidR="009A0781" w:rsidRDefault="009A0781" w:rsidP="006B1DFE">
            <w:pPr>
              <w:widowControl w:val="0"/>
              <w:jc w:val="center"/>
            </w:pPr>
            <w:r>
              <w:t>$1,171,045</w:t>
            </w:r>
          </w:p>
        </w:tc>
      </w:tr>
      <w:tr w:rsidR="009A0781" w14:paraId="49DC0BCB" w14:textId="77777777" w:rsidTr="006B1DFE">
        <w:trPr>
          <w:trHeight w:val="431"/>
        </w:trPr>
        <w:tc>
          <w:tcPr>
            <w:tcW w:w="3078" w:type="dxa"/>
            <w:shd w:val="clear" w:color="auto" w:fill="auto"/>
          </w:tcPr>
          <w:p w14:paraId="18814633" w14:textId="77777777" w:rsidR="009A0781" w:rsidRDefault="009A0781" w:rsidP="006B1DFE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326ED597" w14:textId="77777777" w:rsidR="009A0781" w:rsidRDefault="009A0781" w:rsidP="006B1DFE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6104CB22" w14:textId="77777777" w:rsidR="009A0781" w:rsidRDefault="009A0781" w:rsidP="006B1DFE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0FF1C9EC" w14:textId="77777777" w:rsidR="009A0781" w:rsidRDefault="009A0781" w:rsidP="006B1DFE">
            <w:pPr>
              <w:widowControl w:val="0"/>
              <w:jc w:val="center"/>
            </w:pPr>
          </w:p>
        </w:tc>
      </w:tr>
    </w:tbl>
    <w:p w14:paraId="19BD5945" w14:textId="77777777" w:rsidR="009A0781" w:rsidRDefault="009A0781" w:rsidP="009A0781">
      <w:pPr>
        <w:widowControl w:val="0"/>
      </w:pPr>
    </w:p>
    <w:p w14:paraId="10165C79" w14:textId="77777777" w:rsidR="009A0781" w:rsidRPr="006177BD" w:rsidRDefault="009A0781" w:rsidP="009A078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4E64E78" w14:textId="77777777" w:rsidR="009A0781" w:rsidRDefault="009A0781" w:rsidP="009A078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A0781" w:rsidRPr="00CC7B5E" w14:paraId="5355C586" w14:textId="77777777" w:rsidTr="006B1DFE">
        <w:trPr>
          <w:trHeight w:val="494"/>
        </w:trPr>
        <w:tc>
          <w:tcPr>
            <w:tcW w:w="3672" w:type="dxa"/>
            <w:shd w:val="clear" w:color="auto" w:fill="auto"/>
          </w:tcPr>
          <w:p w14:paraId="525D3A7E" w14:textId="77777777" w:rsidR="009A0781" w:rsidRPr="00CC7B5E" w:rsidRDefault="009A0781" w:rsidP="006B1DF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5D99D900" w14:textId="77777777" w:rsidR="009A0781" w:rsidRPr="00CC7B5E" w:rsidRDefault="009A0781" w:rsidP="006B1DF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7226BE0C" w14:textId="77777777" w:rsidR="009A0781" w:rsidRPr="00CC7B5E" w:rsidRDefault="009A0781" w:rsidP="006B1DF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9A0781" w:rsidRPr="00CC7B5E" w14:paraId="4D171442" w14:textId="77777777" w:rsidTr="006B1DFE">
        <w:trPr>
          <w:trHeight w:val="521"/>
        </w:trPr>
        <w:tc>
          <w:tcPr>
            <w:tcW w:w="3672" w:type="dxa"/>
            <w:shd w:val="clear" w:color="auto" w:fill="auto"/>
          </w:tcPr>
          <w:p w14:paraId="1C878691" w14:textId="77777777" w:rsidR="009A0781" w:rsidRPr="00312656" w:rsidRDefault="009A0781" w:rsidP="006B1DF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164216D6" w14:textId="77777777" w:rsidR="009A0781" w:rsidRPr="00312656" w:rsidRDefault="009A0781" w:rsidP="006B1DF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72" w:type="dxa"/>
            <w:shd w:val="clear" w:color="auto" w:fill="auto"/>
          </w:tcPr>
          <w:p w14:paraId="0072BF07" w14:textId="77777777" w:rsidR="009A0781" w:rsidRPr="00312656" w:rsidRDefault="009A0781" w:rsidP="006B1DF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$4,025,823</w:t>
            </w:r>
          </w:p>
        </w:tc>
      </w:tr>
    </w:tbl>
    <w:p w14:paraId="097101F8" w14:textId="77777777" w:rsidR="009A0781" w:rsidRPr="006177BD" w:rsidRDefault="009A0781" w:rsidP="009A078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4F654BCD" w14:textId="77777777" w:rsidR="009A0781" w:rsidRPr="006177BD" w:rsidRDefault="009A0781" w:rsidP="009A0781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C19E6F6" w14:textId="77777777" w:rsidR="009A0781" w:rsidRDefault="009A0781" w:rsidP="009A078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at over $100,000 are summarized.</w:t>
      </w:r>
    </w:p>
    <w:p w14:paraId="08BE765D" w14:textId="77777777" w:rsidR="009A0781" w:rsidRDefault="009A0781" w:rsidP="009A078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0DCF7F2B" w14:textId="77777777" w:rsidR="009A0781" w:rsidRDefault="009A0781" w:rsidP="009A0781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 xml:space="preserve">Construction of a New Auto Parts Store, </w:t>
      </w:r>
      <w:proofErr w:type="spellStart"/>
      <w:r>
        <w:rPr>
          <w:b/>
          <w:i/>
        </w:rPr>
        <w:t>Autozone</w:t>
      </w:r>
      <w:proofErr w:type="spellEnd"/>
      <w:r>
        <w:rPr>
          <w:b/>
          <w:i/>
        </w:rPr>
        <w:t>, at 6727 10</w:t>
      </w:r>
      <w:r w:rsidRPr="00C86E0F">
        <w:rPr>
          <w:b/>
          <w:i/>
          <w:vertAlign w:val="superscript"/>
        </w:rPr>
        <w:t>th</w:t>
      </w:r>
      <w:r>
        <w:rPr>
          <w:b/>
          <w:i/>
        </w:rPr>
        <w:t xml:space="preserve"> Street, by Van Tassel Proctor, Inc., for a Total Valuation of $1,543,228.</w:t>
      </w:r>
    </w:p>
    <w:p w14:paraId="6C4E3CA1" w14:textId="77777777" w:rsidR="009A0781" w:rsidRDefault="009A0781" w:rsidP="009A078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1078EC8B" w14:textId="77777777" w:rsidR="009A0781" w:rsidRDefault="009A0781" w:rsidP="009A0781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Hangar Building with 4 Units, at 801 Luscombe Ln, by Steve McIntire, for a Total Valuation of $606,595.</w:t>
      </w:r>
    </w:p>
    <w:p w14:paraId="0A17544F" w14:textId="77777777" w:rsidR="009A0781" w:rsidRPr="00C86E0F" w:rsidRDefault="009A0781" w:rsidP="009A0781">
      <w:pPr>
        <w:pStyle w:val="ListParagraph"/>
        <w:rPr>
          <w:b/>
          <w:i/>
        </w:rPr>
      </w:pPr>
    </w:p>
    <w:p w14:paraId="3C0A1CF0" w14:textId="77777777" w:rsidR="009A0781" w:rsidRPr="00C86E0F" w:rsidRDefault="009A0781" w:rsidP="009A0781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3-Bay Instant Oil Change Facility, Valvoline, at 6831 10</w:t>
      </w:r>
      <w:r w:rsidRPr="00C86E0F">
        <w:rPr>
          <w:b/>
          <w:i/>
          <w:vertAlign w:val="superscript"/>
        </w:rPr>
        <w:t>th</w:t>
      </w:r>
      <w:r>
        <w:rPr>
          <w:b/>
          <w:i/>
        </w:rPr>
        <w:t xml:space="preserve"> Street, by </w:t>
      </w:r>
      <w:proofErr w:type="spellStart"/>
      <w:r>
        <w:rPr>
          <w:b/>
          <w:i/>
        </w:rPr>
        <w:t>Westec</w:t>
      </w:r>
      <w:proofErr w:type="spellEnd"/>
      <w:r>
        <w:rPr>
          <w:b/>
          <w:i/>
        </w:rPr>
        <w:t xml:space="preserve"> Construction, for a Total Valuation of $1,876,000.</w:t>
      </w:r>
    </w:p>
    <w:p w14:paraId="4CB974FC" w14:textId="0AF165A4" w:rsidR="00BD7D9C" w:rsidRDefault="00BD7D9C" w:rsidP="009A0781">
      <w:pPr>
        <w:widowControl w:val="0"/>
        <w:rPr>
          <w:rFonts w:ascii="@PMingLiU" w:hAnsi="@PMingLiU"/>
          <w:sz w:val="26"/>
        </w:rPr>
      </w:pPr>
    </w:p>
    <w:p w14:paraId="69D4F880" w14:textId="77777777" w:rsidR="00BD7D9C" w:rsidRDefault="00BD7D9C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p w14:paraId="18FC6ED4" w14:textId="77777777" w:rsidR="00BD7D9C" w:rsidRDefault="00BD7D9C" w:rsidP="00BD7D9C">
      <w:pPr>
        <w:widowContro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BD7D9C" w14:paraId="5F174C88" w14:textId="77777777" w:rsidTr="006B1DFE">
        <w:trPr>
          <w:trHeight w:val="1457"/>
        </w:trPr>
        <w:tc>
          <w:tcPr>
            <w:tcW w:w="2695" w:type="dxa"/>
          </w:tcPr>
          <w:p w14:paraId="27348905" w14:textId="77777777" w:rsidR="00BD7D9C" w:rsidRDefault="00BD7D9C" w:rsidP="006B1DFE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193DB9D1" wp14:editId="700E3A19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25793BAA" w14:textId="77777777" w:rsidR="00BD7D9C" w:rsidRDefault="00BD7D9C" w:rsidP="006B1DFE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36F2C119" w14:textId="77777777" w:rsidR="00BD7D9C" w:rsidRPr="00810B67" w:rsidRDefault="00BD7D9C" w:rsidP="006B1DFE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19E6BBD8" w14:textId="77777777" w:rsidR="00BD7D9C" w:rsidRPr="00810B67" w:rsidRDefault="00BD7D9C" w:rsidP="006B1DFE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43C10631" w14:textId="77777777" w:rsidR="00BD7D9C" w:rsidRDefault="00BD7D9C" w:rsidP="006B1DFE">
            <w:pPr>
              <w:widowControl w:val="0"/>
            </w:pPr>
          </w:p>
        </w:tc>
      </w:tr>
    </w:tbl>
    <w:p w14:paraId="1BDFE93B" w14:textId="77777777" w:rsidR="00BD7D9C" w:rsidRPr="00810B67" w:rsidRDefault="00BD7D9C" w:rsidP="00BD7D9C">
      <w:pPr>
        <w:widowControl w:val="0"/>
      </w:pPr>
    </w:p>
    <w:p w14:paraId="78033E84" w14:textId="77777777" w:rsidR="00BD7D9C" w:rsidRPr="00BE76B3" w:rsidRDefault="00BD7D9C" w:rsidP="00BD7D9C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BD7D9C" w:rsidRPr="00810B67" w14:paraId="682403DE" w14:textId="77777777" w:rsidTr="006B1DFE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F825619" w14:textId="77777777" w:rsidR="00BD7D9C" w:rsidRPr="00810B67" w:rsidRDefault="00BD7D9C" w:rsidP="006B1DFE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362DD892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17DA2A90" w14:textId="77777777" w:rsidR="00BD7D9C" w:rsidRPr="00D60D26" w:rsidRDefault="00BD7D9C" w:rsidP="006B1DFE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  <w:p w14:paraId="279FA1C4" w14:textId="77777777" w:rsidR="00BD7D9C" w:rsidRPr="00D60D26" w:rsidRDefault="00BD7D9C" w:rsidP="006B1DFE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320DB2AC" w14:textId="77777777" w:rsidR="00BD7D9C" w:rsidRPr="00D60D26" w:rsidRDefault="00BD7D9C" w:rsidP="006B1DFE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  <w:p w14:paraId="528C3B7D" w14:textId="77777777" w:rsidR="00BD7D9C" w:rsidRPr="00D60D26" w:rsidRDefault="00BD7D9C" w:rsidP="006B1DFE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68D2FD6E" w14:textId="77777777" w:rsidR="00BD7D9C" w:rsidRPr="00D60D26" w:rsidRDefault="00BD7D9C" w:rsidP="006B1DFE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015148B2" w14:textId="77777777" w:rsidR="00BD7D9C" w:rsidRPr="00D60D26" w:rsidRDefault="00BD7D9C" w:rsidP="006B1DFE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265E7F13" w14:textId="77777777" w:rsidR="00BD7D9C" w:rsidRPr="00D60D26" w:rsidRDefault="00BD7D9C" w:rsidP="006B1DFE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123DCE67" w14:textId="77777777" w:rsidR="00BD7D9C" w:rsidRPr="00D60D26" w:rsidRDefault="00BD7D9C" w:rsidP="006B1DFE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BD7D9C" w:rsidRPr="00810B67" w14:paraId="5CB47113" w14:textId="77777777" w:rsidTr="006B1DFE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8B557EB" w14:textId="77777777" w:rsidR="00BD7D9C" w:rsidRPr="00810B67" w:rsidRDefault="00BD7D9C" w:rsidP="006B1DFE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AA2B1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D4055B6" w14:textId="77777777" w:rsidR="00BD7D9C" w:rsidRPr="00810B67" w:rsidRDefault="00BD7D9C" w:rsidP="006B1DFE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2825193C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5DEDA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21</w:t>
            </w:r>
          </w:p>
          <w:p w14:paraId="3D8312AF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21</w:t>
            </w:r>
          </w:p>
          <w:p w14:paraId="687093F8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7,972,240</w:t>
            </w:r>
          </w:p>
          <w:p w14:paraId="41E98D7A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7E548E1" w14:textId="77777777" w:rsidR="00BD7D9C" w:rsidRDefault="00BD7D9C" w:rsidP="006B1DFE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7</w:t>
            </w:r>
          </w:p>
          <w:p w14:paraId="7229A51F" w14:textId="77777777" w:rsidR="00BD7D9C" w:rsidRDefault="00BD7D9C" w:rsidP="006B1DFE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7</w:t>
            </w:r>
          </w:p>
          <w:p w14:paraId="42B077BE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2,646,631</w:t>
            </w:r>
          </w:p>
          <w:p w14:paraId="06EE9A01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6D403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60</w:t>
            </w:r>
          </w:p>
          <w:p w14:paraId="57501AAE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60</w:t>
            </w:r>
          </w:p>
          <w:p w14:paraId="371C69C4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24,377,563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81254E6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23</w:t>
            </w:r>
          </w:p>
          <w:p w14:paraId="524FED72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23</w:t>
            </w:r>
          </w:p>
          <w:p w14:paraId="5F550BD9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10,043,931</w:t>
            </w:r>
          </w:p>
        </w:tc>
      </w:tr>
      <w:tr w:rsidR="00BD7D9C" w:rsidRPr="00810B67" w14:paraId="0F4C7843" w14:textId="77777777" w:rsidTr="006B1DFE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162DFAA" w14:textId="77777777" w:rsidR="00BD7D9C" w:rsidRPr="00810B67" w:rsidRDefault="00BD7D9C" w:rsidP="006B1DFE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B369B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9DA947A" w14:textId="77777777" w:rsidR="00BD7D9C" w:rsidRPr="00810B67" w:rsidRDefault="00BD7D9C" w:rsidP="006B1DFE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417EE0B1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EAE02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0</w:t>
            </w:r>
          </w:p>
          <w:p w14:paraId="05E6560D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07FE399" w14:textId="77777777" w:rsidR="00BD7D9C" w:rsidRPr="00810B67" w:rsidRDefault="00BD7D9C" w:rsidP="006B1DFE">
            <w:pPr>
              <w:widowControl w:val="0"/>
              <w:spacing w:before="75"/>
              <w:jc w:val="center"/>
            </w:pPr>
            <w:r>
              <w:t>1</w:t>
            </w:r>
          </w:p>
          <w:p w14:paraId="754B4B3B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29,771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210F0" w14:textId="77777777" w:rsidR="00BD7D9C" w:rsidRDefault="00BD7D9C" w:rsidP="006B1DFE">
            <w:pPr>
              <w:widowControl w:val="0"/>
              <w:spacing w:before="60"/>
              <w:jc w:val="center"/>
            </w:pPr>
            <w:r>
              <w:t>3</w:t>
            </w:r>
          </w:p>
          <w:p w14:paraId="52A0C6CA" w14:textId="77777777" w:rsidR="00BD7D9C" w:rsidRPr="00810B67" w:rsidRDefault="00BD7D9C" w:rsidP="006B1DFE">
            <w:pPr>
              <w:widowControl w:val="0"/>
              <w:spacing w:before="60"/>
              <w:jc w:val="center"/>
            </w:pPr>
            <w:r>
              <w:t>125,978</w:t>
            </w:r>
          </w:p>
          <w:p w14:paraId="7CF71A08" w14:textId="77777777" w:rsidR="00BD7D9C" w:rsidRPr="00810B67" w:rsidRDefault="00BD7D9C" w:rsidP="006B1DFE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EAE9F44" w14:textId="77777777" w:rsidR="00BD7D9C" w:rsidRPr="00810B67" w:rsidRDefault="00BD7D9C" w:rsidP="006B1DFE">
            <w:pPr>
              <w:widowControl w:val="0"/>
              <w:spacing w:before="60"/>
              <w:jc w:val="center"/>
            </w:pPr>
            <w:r>
              <w:t>1</w:t>
            </w:r>
          </w:p>
          <w:p w14:paraId="7C20BF01" w14:textId="77777777" w:rsidR="00BD7D9C" w:rsidRPr="00810B67" w:rsidRDefault="00BD7D9C" w:rsidP="006B1DFE">
            <w:pPr>
              <w:widowControl w:val="0"/>
              <w:jc w:val="center"/>
            </w:pPr>
            <w:r>
              <w:t>29,771</w:t>
            </w:r>
          </w:p>
        </w:tc>
      </w:tr>
      <w:tr w:rsidR="00BD7D9C" w:rsidRPr="00810B67" w14:paraId="35E826AA" w14:textId="77777777" w:rsidTr="006B1DFE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AE4F3A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51220FFA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BD498" w14:textId="77777777" w:rsidR="00BD7D9C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0A79ED8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39856CDB" w14:textId="77777777" w:rsidR="00BD7D9C" w:rsidRPr="00810B67" w:rsidRDefault="00BD7D9C" w:rsidP="006B1DFE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4EADE3BA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63788" w14:textId="77777777" w:rsidR="00BD7D9C" w:rsidRDefault="00BD7D9C" w:rsidP="006B1DFE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0</w:t>
            </w:r>
          </w:p>
          <w:p w14:paraId="098D1189" w14:textId="77777777" w:rsidR="00BD7D9C" w:rsidRDefault="00BD7D9C" w:rsidP="006B1DFE">
            <w:pPr>
              <w:widowControl w:val="0"/>
              <w:spacing w:before="75"/>
              <w:jc w:val="center"/>
            </w:pPr>
          </w:p>
          <w:p w14:paraId="03E65FEF" w14:textId="77777777" w:rsidR="00BD7D9C" w:rsidRPr="00810B67" w:rsidRDefault="00BD7D9C" w:rsidP="006B1DFE">
            <w:pPr>
              <w:widowControl w:val="0"/>
              <w:spacing w:before="75"/>
              <w:jc w:val="center"/>
            </w:pPr>
          </w:p>
          <w:p w14:paraId="37FB0692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437DFE8" w14:textId="77777777" w:rsidR="00BD7D9C" w:rsidRPr="00810B67" w:rsidRDefault="00BD7D9C" w:rsidP="006B1DFE">
            <w:pPr>
              <w:widowControl w:val="0"/>
              <w:spacing w:before="75"/>
              <w:jc w:val="center"/>
            </w:pPr>
            <w:r>
              <w:t>22</w:t>
            </w:r>
          </w:p>
          <w:p w14:paraId="5E9598E0" w14:textId="77777777" w:rsidR="00BD7D9C" w:rsidRPr="00810B67" w:rsidRDefault="00BD7D9C" w:rsidP="006B1DFE">
            <w:pPr>
              <w:widowControl w:val="0"/>
              <w:jc w:val="center"/>
            </w:pPr>
            <w:r>
              <w:t>4</w:t>
            </w:r>
          </w:p>
          <w:p w14:paraId="2C16C229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22</w:t>
            </w:r>
          </w:p>
          <w:p w14:paraId="0023713F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6,778,986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C22E6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6</w:t>
            </w:r>
          </w:p>
          <w:p w14:paraId="4E93C76B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3</w:t>
            </w:r>
          </w:p>
          <w:p w14:paraId="16563162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6</w:t>
            </w:r>
          </w:p>
          <w:p w14:paraId="03B14A75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2,238,495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382136A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56</w:t>
            </w:r>
          </w:p>
          <w:p w14:paraId="702FAA16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12</w:t>
            </w:r>
          </w:p>
          <w:p w14:paraId="6F9D135D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56</w:t>
            </w:r>
          </w:p>
          <w:p w14:paraId="77FCBCE9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16,847,774</w:t>
            </w:r>
          </w:p>
        </w:tc>
      </w:tr>
      <w:tr w:rsidR="00BD7D9C" w:rsidRPr="00810B67" w14:paraId="0631E480" w14:textId="77777777" w:rsidTr="006B1DFE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6201084" w14:textId="77777777" w:rsidR="00BD7D9C" w:rsidRPr="00810B67" w:rsidRDefault="00BD7D9C" w:rsidP="006B1DFE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659BE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54D93EE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0FD5C" w14:textId="77777777" w:rsidR="00BD7D9C" w:rsidRDefault="00BD7D9C" w:rsidP="006B1DFE">
            <w:pPr>
              <w:widowControl w:val="0"/>
              <w:spacing w:before="75"/>
              <w:jc w:val="center"/>
            </w:pPr>
            <w:r>
              <w:t>0</w:t>
            </w:r>
          </w:p>
          <w:p w14:paraId="1E747B7B" w14:textId="77777777" w:rsidR="00BD7D9C" w:rsidRPr="00810B67" w:rsidRDefault="00BD7D9C" w:rsidP="006B1DFE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5B1D4FA" w14:textId="77777777" w:rsidR="00BD7D9C" w:rsidRDefault="00BD7D9C" w:rsidP="006B1DFE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42447CF9" w14:textId="77777777" w:rsidR="00BD7D9C" w:rsidRPr="00810B67" w:rsidRDefault="00BD7D9C" w:rsidP="006B1DFE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B2390" w14:textId="77777777" w:rsidR="00BD7D9C" w:rsidRDefault="00BD7D9C" w:rsidP="006B1DFE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0710339E" w14:textId="77777777" w:rsidR="00BD7D9C" w:rsidRPr="00810B67" w:rsidRDefault="00BD7D9C" w:rsidP="006B1DFE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398E1E2" w14:textId="77777777" w:rsidR="00BD7D9C" w:rsidRDefault="00BD7D9C" w:rsidP="006B1DFE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6B1E5864" w14:textId="77777777" w:rsidR="00BD7D9C" w:rsidRPr="00810B67" w:rsidRDefault="00BD7D9C" w:rsidP="006B1DFE">
            <w:pPr>
              <w:widowControl w:val="0"/>
              <w:spacing w:before="75" w:after="39"/>
              <w:jc w:val="center"/>
            </w:pPr>
          </w:p>
        </w:tc>
      </w:tr>
      <w:tr w:rsidR="00BD7D9C" w:rsidRPr="00810B67" w14:paraId="57D31407" w14:textId="77777777" w:rsidTr="006B1DFE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317B2D4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7F344EEC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4A0C2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657F10A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7002D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41</w:t>
            </w:r>
          </w:p>
          <w:p w14:paraId="1B5E7546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1,171,045</w:t>
            </w:r>
          </w:p>
          <w:p w14:paraId="11C5B761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918B983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29</w:t>
            </w:r>
          </w:p>
          <w:p w14:paraId="7491B60C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968,325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1D3F0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99</w:t>
            </w:r>
          </w:p>
          <w:p w14:paraId="022C4F1F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3,159,462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8E3FCD3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95</w:t>
            </w:r>
          </w:p>
          <w:p w14:paraId="5D671D12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3,124,491</w:t>
            </w:r>
          </w:p>
        </w:tc>
      </w:tr>
      <w:tr w:rsidR="00BD7D9C" w:rsidRPr="00810B67" w14:paraId="5B27017B" w14:textId="77777777" w:rsidTr="006B1DFE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7B43E3D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38C48101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5CAD8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E93A53F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7477D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3</w:t>
            </w:r>
          </w:p>
          <w:p w14:paraId="00BE6BF1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4,025,823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43FB4C0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0</w:t>
            </w:r>
          </w:p>
          <w:p w14:paraId="3B05E612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807FB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9</w:t>
            </w:r>
          </w:p>
          <w:p w14:paraId="08371CA0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66,585,142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551E417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13</w:t>
            </w:r>
          </w:p>
          <w:p w14:paraId="71A82882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45,516,947</w:t>
            </w:r>
          </w:p>
        </w:tc>
      </w:tr>
      <w:tr w:rsidR="00BD7D9C" w:rsidRPr="00810B67" w14:paraId="1AD053BF" w14:textId="77777777" w:rsidTr="006B1DFE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270A813" w14:textId="77777777" w:rsidR="00BD7D9C" w:rsidRPr="00810B67" w:rsidRDefault="00BD7D9C" w:rsidP="006B1DFE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C92F5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CCE815F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5E51E" w14:textId="77777777" w:rsidR="00BD7D9C" w:rsidRDefault="00BD7D9C" w:rsidP="006B1DFE">
            <w:pPr>
              <w:widowControl w:val="0"/>
              <w:spacing w:before="60"/>
              <w:jc w:val="center"/>
            </w:pPr>
            <w:r>
              <w:t>0</w:t>
            </w:r>
          </w:p>
          <w:p w14:paraId="59736DF0" w14:textId="77777777" w:rsidR="00BD7D9C" w:rsidRDefault="00BD7D9C" w:rsidP="006B1DFE">
            <w:pPr>
              <w:widowControl w:val="0"/>
              <w:spacing w:before="60"/>
              <w:jc w:val="center"/>
            </w:pPr>
          </w:p>
          <w:p w14:paraId="3C4D7950" w14:textId="77777777" w:rsidR="00BD7D9C" w:rsidRPr="00810B67" w:rsidRDefault="00BD7D9C" w:rsidP="006B1DFE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333C5D6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0</w:t>
            </w:r>
          </w:p>
          <w:p w14:paraId="74395910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AAF1A" w14:textId="77777777" w:rsidR="00BD7D9C" w:rsidRDefault="00BD7D9C" w:rsidP="006B1DFE">
            <w:pPr>
              <w:widowControl w:val="0"/>
              <w:jc w:val="center"/>
            </w:pPr>
            <w:r>
              <w:t>0</w:t>
            </w:r>
          </w:p>
          <w:p w14:paraId="35BC65C4" w14:textId="77777777" w:rsidR="00BD7D9C" w:rsidRPr="00810B67" w:rsidRDefault="00BD7D9C" w:rsidP="006B1DFE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798EA92" w14:textId="77777777" w:rsidR="00BD7D9C" w:rsidRDefault="00BD7D9C" w:rsidP="006B1DFE">
            <w:pPr>
              <w:widowControl w:val="0"/>
              <w:jc w:val="center"/>
            </w:pPr>
            <w:r>
              <w:t>2</w:t>
            </w:r>
          </w:p>
          <w:p w14:paraId="606B98C3" w14:textId="77777777" w:rsidR="00BD7D9C" w:rsidRPr="00810B67" w:rsidRDefault="00BD7D9C" w:rsidP="006B1DFE">
            <w:pPr>
              <w:widowControl w:val="0"/>
              <w:jc w:val="center"/>
            </w:pPr>
            <w:r>
              <w:t>30,000</w:t>
            </w:r>
          </w:p>
        </w:tc>
      </w:tr>
      <w:tr w:rsidR="00BD7D9C" w:rsidRPr="00810B67" w14:paraId="6E25643E" w14:textId="77777777" w:rsidTr="006B1DFE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529973C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679BB242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28988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1331466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27FC5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12</w:t>
            </w:r>
          </w:p>
          <w:p w14:paraId="280C8601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16,048,158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37D9B40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5</w:t>
            </w:r>
          </w:p>
          <w:p w14:paraId="04B99349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2,245,514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4115D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40</w:t>
            </w:r>
          </w:p>
          <w:p w14:paraId="5A2AFF51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31,300,162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E919ACC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44</w:t>
            </w:r>
          </w:p>
          <w:p w14:paraId="72EC4BD0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20,418,766</w:t>
            </w:r>
          </w:p>
        </w:tc>
      </w:tr>
      <w:tr w:rsidR="00BD7D9C" w:rsidRPr="00810B67" w14:paraId="34FC0B18" w14:textId="77777777" w:rsidTr="006B1DFE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B839E21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73561859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10FA8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2F28DA6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10F8B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260</w:t>
            </w:r>
          </w:p>
          <w:p w14:paraId="0B2E131A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2,660,958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19F8A7D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240</w:t>
            </w:r>
          </w:p>
          <w:p w14:paraId="6090A02B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2,893,903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D8BC2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1,000</w:t>
            </w:r>
          </w:p>
          <w:p w14:paraId="4AC75343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10,529,568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BD21D9C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744</w:t>
            </w:r>
          </w:p>
          <w:p w14:paraId="26C6D592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8,558,198</w:t>
            </w:r>
          </w:p>
        </w:tc>
      </w:tr>
      <w:tr w:rsidR="00BD7D9C" w:rsidRPr="00810B67" w14:paraId="58BEAE49" w14:textId="77777777" w:rsidTr="006B1DFE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44427561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449DE607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88E6192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94225BD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9AE7556" w14:textId="77777777" w:rsidR="00BD7D9C" w:rsidRDefault="00BD7D9C" w:rsidP="006B1DFE">
            <w:pPr>
              <w:widowControl w:val="0"/>
              <w:spacing w:before="75"/>
              <w:jc w:val="center"/>
            </w:pPr>
            <w:r>
              <w:t>0</w:t>
            </w:r>
          </w:p>
          <w:p w14:paraId="44D84E7E" w14:textId="77777777" w:rsidR="00BD7D9C" w:rsidRPr="00810B67" w:rsidRDefault="00BD7D9C" w:rsidP="006B1DFE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394800FB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1</w:t>
            </w:r>
          </w:p>
          <w:p w14:paraId="1A5A626C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5,500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87E766B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3</w:t>
            </w:r>
          </w:p>
          <w:p w14:paraId="4691AEA7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15,500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5DE616F4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24</w:t>
            </w:r>
          </w:p>
          <w:p w14:paraId="5F0B8A1F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107,600</w:t>
            </w:r>
          </w:p>
        </w:tc>
      </w:tr>
      <w:tr w:rsidR="00BD7D9C" w:rsidRPr="00810B67" w14:paraId="4BB40BF7" w14:textId="77777777" w:rsidTr="006B1DFE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6311D5C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</w:p>
          <w:p w14:paraId="4540090B" w14:textId="77777777" w:rsidR="00BD7D9C" w:rsidRPr="00810B67" w:rsidRDefault="00BD7D9C" w:rsidP="006B1DFE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44A7D4CB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59B5BDD" w14:textId="77777777" w:rsidR="00BD7D9C" w:rsidRPr="00810B67" w:rsidRDefault="00BD7D9C" w:rsidP="006B1DFE">
            <w:pPr>
              <w:widowControl w:val="0"/>
              <w:spacing w:before="75"/>
              <w:rPr>
                <w:b/>
              </w:rPr>
            </w:pPr>
          </w:p>
          <w:p w14:paraId="6420319B" w14:textId="77777777" w:rsidR="00BD7D9C" w:rsidRPr="00810B67" w:rsidRDefault="00BD7D9C" w:rsidP="006B1DFE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21BFF1E" w14:textId="77777777" w:rsidR="00BD7D9C" w:rsidRPr="00810B67" w:rsidRDefault="00BD7D9C" w:rsidP="006B1DFE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7170CBF" w14:textId="77777777" w:rsidR="00BD7D9C" w:rsidRPr="00810B67" w:rsidRDefault="00BD7D9C" w:rsidP="006B1DFE">
            <w:pPr>
              <w:widowControl w:val="0"/>
              <w:jc w:val="center"/>
            </w:pPr>
          </w:p>
          <w:p w14:paraId="5A50D5F9" w14:textId="77777777" w:rsidR="00BD7D9C" w:rsidRDefault="00BD7D9C" w:rsidP="006B1DFE">
            <w:pPr>
              <w:widowControl w:val="0"/>
              <w:jc w:val="center"/>
            </w:pPr>
            <w:r>
              <w:t>337</w:t>
            </w:r>
          </w:p>
          <w:p w14:paraId="6A2DA272" w14:textId="77777777" w:rsidR="00BD7D9C" w:rsidRPr="00810B67" w:rsidRDefault="00BD7D9C" w:rsidP="006B1DFE">
            <w:pPr>
              <w:widowControl w:val="0"/>
              <w:jc w:val="center"/>
            </w:pPr>
            <w:r>
              <w:t>31,878,224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73BDEC51" w14:textId="77777777" w:rsidR="00BD7D9C" w:rsidRDefault="00BD7D9C" w:rsidP="006B1DFE">
            <w:pPr>
              <w:widowControl w:val="0"/>
              <w:spacing w:after="39"/>
              <w:jc w:val="center"/>
            </w:pPr>
          </w:p>
          <w:p w14:paraId="581FD7C2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305</w:t>
            </w:r>
          </w:p>
          <w:p w14:paraId="58A522E3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  <w:r>
              <w:t>15,568,630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385081" w14:textId="77777777" w:rsidR="00BD7D9C" w:rsidRDefault="00BD7D9C" w:rsidP="006B1DFE">
            <w:pPr>
              <w:widowControl w:val="0"/>
              <w:spacing w:after="39"/>
              <w:jc w:val="center"/>
            </w:pPr>
          </w:p>
          <w:p w14:paraId="5575503C" w14:textId="77777777" w:rsidR="00BD7D9C" w:rsidRDefault="00BD7D9C" w:rsidP="006B1DFE">
            <w:pPr>
              <w:widowControl w:val="0"/>
              <w:spacing w:after="39"/>
              <w:jc w:val="center"/>
            </w:pPr>
            <w:r>
              <w:t>1,220</w:t>
            </w:r>
          </w:p>
          <w:p w14:paraId="1093F2CE" w14:textId="77777777" w:rsidR="00BD7D9C" w:rsidRPr="00812C34" w:rsidRDefault="00BD7D9C" w:rsidP="006B1DFE">
            <w:pPr>
              <w:widowControl w:val="0"/>
              <w:spacing w:after="39"/>
              <w:jc w:val="center"/>
            </w:pPr>
            <w:r>
              <w:t>138,331,870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16D6769F" w14:textId="77777777" w:rsidR="00BD7D9C" w:rsidRDefault="00BD7D9C" w:rsidP="006B1DFE">
            <w:pPr>
              <w:widowControl w:val="0"/>
              <w:jc w:val="center"/>
            </w:pPr>
          </w:p>
          <w:p w14:paraId="3C916490" w14:textId="77777777" w:rsidR="00BD7D9C" w:rsidRDefault="00BD7D9C" w:rsidP="006B1DFE">
            <w:pPr>
              <w:widowControl w:val="0"/>
              <w:jc w:val="center"/>
            </w:pPr>
            <w:r>
              <w:t>1,002</w:t>
            </w:r>
          </w:p>
          <w:p w14:paraId="30CBC7FF" w14:textId="77777777" w:rsidR="00BD7D9C" w:rsidRPr="00810B67" w:rsidRDefault="00BD7D9C" w:rsidP="006B1DFE">
            <w:pPr>
              <w:widowControl w:val="0"/>
              <w:jc w:val="center"/>
            </w:pPr>
            <w:r>
              <w:t>104,677,478</w:t>
            </w:r>
          </w:p>
          <w:p w14:paraId="14C459C1" w14:textId="77777777" w:rsidR="00BD7D9C" w:rsidRPr="00810B67" w:rsidRDefault="00BD7D9C" w:rsidP="006B1DFE">
            <w:pPr>
              <w:widowControl w:val="0"/>
              <w:spacing w:after="39"/>
              <w:jc w:val="center"/>
            </w:pPr>
          </w:p>
        </w:tc>
      </w:tr>
    </w:tbl>
    <w:p w14:paraId="553BEE2D" w14:textId="77777777" w:rsidR="00BD7D9C" w:rsidRPr="00810B67" w:rsidRDefault="00BD7D9C" w:rsidP="00BD7D9C">
      <w:pPr>
        <w:widowControl w:val="0"/>
        <w:rPr>
          <w:b/>
          <w:sz w:val="20"/>
        </w:rPr>
      </w:pPr>
    </w:p>
    <w:p w14:paraId="772D2051" w14:textId="77777777" w:rsidR="00BD7D9C" w:rsidRPr="00810B67" w:rsidRDefault="00BD7D9C" w:rsidP="00BD7D9C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1885E66D" w14:textId="63D81978" w:rsidR="00810637" w:rsidRDefault="00810637">
      <w:pPr>
        <w:rPr>
          <w:rFonts w:ascii="@PMingLiU" w:hAnsi="@PMingLiU"/>
          <w:sz w:val="26"/>
        </w:rPr>
      </w:pPr>
    </w:p>
    <w:sectPr w:rsidR="00810637" w:rsidSect="00371319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12261"/>
    <w:multiLevelType w:val="hybridMultilevel"/>
    <w:tmpl w:val="FDC0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1"/>
  </w:num>
  <w:num w:numId="2" w16cid:durableId="53276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678FB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2EB3"/>
    <w:rsid w:val="00193447"/>
    <w:rsid w:val="0019763D"/>
    <w:rsid w:val="00202F2B"/>
    <w:rsid w:val="0022257F"/>
    <w:rsid w:val="00232A00"/>
    <w:rsid w:val="00233607"/>
    <w:rsid w:val="00240785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B66CC"/>
    <w:rsid w:val="002E7A38"/>
    <w:rsid w:val="002F51BE"/>
    <w:rsid w:val="00317A86"/>
    <w:rsid w:val="00320598"/>
    <w:rsid w:val="00340560"/>
    <w:rsid w:val="003407BB"/>
    <w:rsid w:val="00341E8D"/>
    <w:rsid w:val="00360334"/>
    <w:rsid w:val="00360DC9"/>
    <w:rsid w:val="00366A61"/>
    <w:rsid w:val="00371319"/>
    <w:rsid w:val="003737CE"/>
    <w:rsid w:val="00376232"/>
    <w:rsid w:val="00380070"/>
    <w:rsid w:val="00383C16"/>
    <w:rsid w:val="00393AAD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345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46D0"/>
    <w:rsid w:val="004F7612"/>
    <w:rsid w:val="00507CC5"/>
    <w:rsid w:val="005125CF"/>
    <w:rsid w:val="00524456"/>
    <w:rsid w:val="00534BA8"/>
    <w:rsid w:val="00537B30"/>
    <w:rsid w:val="00571700"/>
    <w:rsid w:val="00574B4A"/>
    <w:rsid w:val="00585C06"/>
    <w:rsid w:val="005975B8"/>
    <w:rsid w:val="005B1854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10637"/>
    <w:rsid w:val="00821B05"/>
    <w:rsid w:val="00823D73"/>
    <w:rsid w:val="008308E5"/>
    <w:rsid w:val="0083179D"/>
    <w:rsid w:val="00834196"/>
    <w:rsid w:val="00835137"/>
    <w:rsid w:val="00852001"/>
    <w:rsid w:val="00857234"/>
    <w:rsid w:val="00865AFD"/>
    <w:rsid w:val="008768C0"/>
    <w:rsid w:val="00884A34"/>
    <w:rsid w:val="008B0133"/>
    <w:rsid w:val="008B1B84"/>
    <w:rsid w:val="008E5895"/>
    <w:rsid w:val="008F06BF"/>
    <w:rsid w:val="008F7056"/>
    <w:rsid w:val="00900199"/>
    <w:rsid w:val="00901D3C"/>
    <w:rsid w:val="00906C84"/>
    <w:rsid w:val="009447A7"/>
    <w:rsid w:val="009466D2"/>
    <w:rsid w:val="00946976"/>
    <w:rsid w:val="00961D8D"/>
    <w:rsid w:val="009758AA"/>
    <w:rsid w:val="009A0781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8390A"/>
    <w:rsid w:val="00A90F26"/>
    <w:rsid w:val="00AA2F9D"/>
    <w:rsid w:val="00AB0603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D7D9C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1739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A05C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B66CC"/>
    <w:pPr>
      <w:widowControl w:val="0"/>
    </w:pPr>
  </w:style>
  <w:style w:type="paragraph" w:styleId="ListParagraph">
    <w:name w:val="List Paragraph"/>
    <w:basedOn w:val="Normal"/>
    <w:uiPriority w:val="34"/>
    <w:qFormat/>
    <w:rsid w:val="002B66CC"/>
    <w:pPr>
      <w:ind w:left="720"/>
    </w:pPr>
  </w:style>
  <w:style w:type="table" w:styleId="TableGrid">
    <w:name w:val="Table Grid"/>
    <w:basedOn w:val="TableNormal"/>
    <w:rsid w:val="001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8" ma:contentTypeDescription="Create a new document." ma:contentTypeScope="" ma:versionID="5a58a6951cbb9f980be6df39a4184cfa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f3258a9511cb122c9e093d3614a1ef8d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E1A1C4-71A0-4C52-9104-65E985519A39}"/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3</cp:revision>
  <cp:lastPrinted>2024-06-03T21:11:00Z</cp:lastPrinted>
  <dcterms:created xsi:type="dcterms:W3CDTF">2025-05-13T14:53:00Z</dcterms:created>
  <dcterms:modified xsi:type="dcterms:W3CDTF">2025-05-13T14:54:00Z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0x0101000A29C5AFB1CF354A8B36B0628B9D42C0</vt:lpwstr>
  </property>
</Properties>
</file>